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5C7F" w14:textId="77777777" w:rsidR="00653D4D" w:rsidRPr="00D46725" w:rsidRDefault="00653D4D" w:rsidP="00653D4D">
      <w:pPr>
        <w:rPr>
          <w:rFonts w:ascii="Arial" w:hAnsi="Arial" w:cs="Arial"/>
          <w:sz w:val="16"/>
          <w:szCs w:val="16"/>
        </w:rPr>
      </w:pPr>
    </w:p>
    <w:p w14:paraId="2E0C3F6D" w14:textId="77777777" w:rsidR="00653D4D" w:rsidRDefault="00653D4D" w:rsidP="00653D4D">
      <w:pPr>
        <w:shd w:val="clear" w:color="auto" w:fill="FFFFFF"/>
        <w:rPr>
          <w:rFonts w:ascii="Arial" w:hAnsi="Arial" w:cs="Arial"/>
          <w:b/>
          <w:bCs/>
          <w:color w:val="000000"/>
          <w:sz w:val="22"/>
          <w:szCs w:val="22"/>
        </w:rPr>
      </w:pPr>
    </w:p>
    <w:p w14:paraId="26E9F7C4" w14:textId="77777777" w:rsidR="00653D4D" w:rsidRPr="00F7199E" w:rsidRDefault="00653D4D" w:rsidP="00653D4D">
      <w:pPr>
        <w:pStyle w:val="SOPFormatting"/>
      </w:pPr>
      <w:r w:rsidRPr="00F7199E">
        <w:t>PURPOSE (APPLICATION)</w:t>
      </w:r>
    </w:p>
    <w:p w14:paraId="78D2D265" w14:textId="4FBEF0D4" w:rsidR="00653D4D" w:rsidRDefault="00653D4D" w:rsidP="00653D4D">
      <w:pPr>
        <w:pStyle w:val="SOPFormatting2"/>
      </w:pPr>
      <w:r w:rsidRPr="00F7199E">
        <w:t xml:space="preserve">To describe the process </w:t>
      </w:r>
      <w:r>
        <w:t>to</w:t>
      </w:r>
      <w:r>
        <w:t xml:space="preserve"> create dilute bleach solutions (~0.12% sodium hypochlorite) for use of disinfection of surfaces.</w:t>
      </w:r>
    </w:p>
    <w:p w14:paraId="4ADE75BC" w14:textId="77777777" w:rsidR="00653D4D" w:rsidRPr="00F7199E" w:rsidRDefault="00653D4D" w:rsidP="00653D4D">
      <w:pPr>
        <w:shd w:val="clear" w:color="auto" w:fill="FFFFFF"/>
        <w:tabs>
          <w:tab w:val="num" w:pos="7488"/>
        </w:tabs>
        <w:ind w:left="720" w:hanging="74"/>
        <w:rPr>
          <w:rFonts w:ascii="Arial" w:hAnsi="Arial" w:cs="Arial"/>
          <w:color w:val="000000"/>
          <w:sz w:val="22"/>
          <w:szCs w:val="22"/>
        </w:rPr>
      </w:pPr>
    </w:p>
    <w:p w14:paraId="53578FAD" w14:textId="77777777" w:rsidR="00653D4D" w:rsidRPr="00F7199E" w:rsidRDefault="00653D4D" w:rsidP="00653D4D">
      <w:pPr>
        <w:pStyle w:val="SOPFormatting"/>
      </w:pPr>
      <w:r w:rsidRPr="00F7199E">
        <w:t>RESPONSIBILITIES</w:t>
      </w:r>
    </w:p>
    <w:p w14:paraId="612FCCA4" w14:textId="4AE44946" w:rsidR="00653D4D" w:rsidRDefault="00653D4D" w:rsidP="00653D4D">
      <w:pPr>
        <w:pStyle w:val="SOPFormatting2"/>
      </w:pPr>
      <w:r>
        <w:t>This procedure should be followed by anyone di</w:t>
      </w:r>
      <w:r>
        <w:t>luting solutions of bleach to use for disinfecting surfaces</w:t>
      </w:r>
    </w:p>
    <w:p w14:paraId="01CAA5E5" w14:textId="6A5D8E5D" w:rsidR="00653D4D" w:rsidRDefault="00653D4D" w:rsidP="00653D4D">
      <w:pPr>
        <w:pStyle w:val="Style4"/>
      </w:pPr>
      <w:r>
        <w:t>Bleach is not the only disinfectant that can be used, however, it is cheap, effective, and readily available. Should one choose to use dilute bleach solutions for disinfection, the following must be observed.</w:t>
      </w:r>
    </w:p>
    <w:p w14:paraId="0ABE0DF3" w14:textId="77777777" w:rsidR="00653D4D" w:rsidRPr="00F7199E" w:rsidRDefault="00653D4D" w:rsidP="00653D4D">
      <w:pPr>
        <w:pStyle w:val="SOPFormatting"/>
      </w:pPr>
      <w:r w:rsidRPr="00F7199E">
        <w:t>SAFETY PRECAUTIONS</w:t>
      </w:r>
    </w:p>
    <w:p w14:paraId="3829CCA3" w14:textId="77777777" w:rsidR="00653D4D" w:rsidRPr="00F7199E" w:rsidRDefault="00653D4D" w:rsidP="00653D4D">
      <w:pPr>
        <w:pStyle w:val="SOPFormatting2"/>
      </w:pPr>
      <w:r w:rsidRPr="00F7199E">
        <w:t>Always wear appropriate personnel protective equipment (PPE) such as gloves, lab coat, and protective eye wear.</w:t>
      </w:r>
    </w:p>
    <w:p w14:paraId="369C6D3F" w14:textId="3A96E3F1" w:rsidR="00653D4D" w:rsidRDefault="00653D4D" w:rsidP="00653D4D">
      <w:pPr>
        <w:pStyle w:val="SOPFormatting2"/>
      </w:pPr>
      <w:r>
        <w:t>Read the safety data sheet (SDS) and the corrosives SOP prior to using.</w:t>
      </w:r>
      <w:r w:rsidR="00F137C8">
        <w:t xml:space="preserve"> </w:t>
      </w:r>
      <w:r w:rsidR="00F137C8">
        <w:t xml:space="preserve">The SDS for Clorox household bleach is </w:t>
      </w:r>
      <w:hyperlink r:id="rId7">
        <w:r w:rsidR="00F137C8">
          <w:rPr>
            <w:color w:val="1155CC"/>
            <w:u w:val="single"/>
          </w:rPr>
          <w:t>here</w:t>
        </w:r>
      </w:hyperlink>
      <w:r w:rsidR="00F137C8">
        <w:t>.</w:t>
      </w:r>
    </w:p>
    <w:p w14:paraId="7B317A5B" w14:textId="49B3585C" w:rsidR="00F137C8" w:rsidRDefault="00F137C8" w:rsidP="00653D4D">
      <w:pPr>
        <w:pStyle w:val="SOPFormatting2"/>
      </w:pPr>
      <w:r>
        <w:t xml:space="preserve">Bleach will </w:t>
      </w:r>
      <w:r>
        <w:t xml:space="preserve">remove color from fabrics and is corrosive (H314) to metal. It is a strong oxidizer, so chemical compatibility must be assessed when using bleach. For example, bleach can react with dishwashing soap that contains ammonia to form chloramine gas, which is toxic. Bleach will also react with acids (including vinegar) to release chlorine gas, which is highly toxic. Bleach itself is toxic, an irritant, and corrosive. </w:t>
      </w:r>
    </w:p>
    <w:p w14:paraId="2A17D02C" w14:textId="1DF738C5" w:rsidR="00653D4D" w:rsidRPr="00F7199E" w:rsidRDefault="00653D4D" w:rsidP="00653D4D">
      <w:pPr>
        <w:pStyle w:val="SOPFormatting2"/>
      </w:pPr>
      <w:r>
        <w:t xml:space="preserve">Know the concentration of sodium hypochlorite in the bleach solution. This can be found on the label and is important in order to calculate the appropriate dilute concentration. </w:t>
      </w:r>
    </w:p>
    <w:p w14:paraId="21B2B674" w14:textId="77777777" w:rsidR="00653D4D" w:rsidRPr="00F7199E" w:rsidRDefault="00653D4D" w:rsidP="00653D4D">
      <w:pPr>
        <w:pStyle w:val="SOPFormatting"/>
      </w:pPr>
      <w:r w:rsidRPr="00F7199E">
        <w:t>MATERIALS</w:t>
      </w:r>
    </w:p>
    <w:p w14:paraId="600E394F" w14:textId="77777777" w:rsidR="00653D4D" w:rsidRDefault="00653D4D" w:rsidP="00653D4D">
      <w:pPr>
        <w:pStyle w:val="SOPFormatting2"/>
        <w:numPr>
          <w:ilvl w:val="0"/>
          <w:numId w:val="0"/>
        </w:numPr>
        <w:ind w:left="720"/>
      </w:pPr>
      <w:r>
        <w:t>Household bleach herein referred to as “bleach” has traditionally been formulated at 5.25%</w:t>
      </w:r>
      <w:r w:rsidRPr="001059B3" w:rsidDel="00EB0364">
        <w:t xml:space="preserve">. sodium hypochlorite </w:t>
      </w:r>
      <w:r>
        <w:t>which</w:t>
      </w:r>
      <w:r w:rsidRPr="001059B3" w:rsidDel="00EB0364">
        <w:t xml:space="preserve"> equals 52,500</w:t>
      </w:r>
      <w:r>
        <w:t xml:space="preserve"> </w:t>
      </w:r>
      <w:r w:rsidRPr="001059B3" w:rsidDel="00EB0364">
        <w:t xml:space="preserve">ppm sodium hypochlorite. </w:t>
      </w:r>
      <w:r>
        <w:t xml:space="preserve">Bottles of bleach should be marked with the date of receipt and again with the date of opening. Note the </w:t>
      </w:r>
      <w:r w:rsidRPr="001059B3">
        <w:t xml:space="preserve">date </w:t>
      </w:r>
      <w:r>
        <w:t>the bottle of bleach was opened</w:t>
      </w:r>
      <w:r w:rsidRPr="001059B3">
        <w:t>. Concentrated bleach should be used within 1 year of opening.</w:t>
      </w:r>
      <w:r w:rsidRPr="00A609E4">
        <w:rPr>
          <w:rFonts w:ascii="Helvetica" w:hAnsi="Helvetica" w:cs="Times New Roman"/>
          <w:sz w:val="21"/>
          <w:szCs w:val="21"/>
          <w:shd w:val="clear" w:color="auto" w:fill="FFFFFF"/>
        </w:rPr>
        <w:t xml:space="preserve"> </w:t>
      </w:r>
    </w:p>
    <w:p w14:paraId="1CB97C3E" w14:textId="5A89FD17" w:rsidR="00653D4D" w:rsidRPr="001059B3" w:rsidRDefault="00653D4D" w:rsidP="00653D4D">
      <w:pPr>
        <w:pStyle w:val="SOPFormatting2"/>
        <w:numPr>
          <w:ilvl w:val="0"/>
          <w:numId w:val="0"/>
        </w:numPr>
        <w:ind w:left="720"/>
      </w:pPr>
      <w:r w:rsidRPr="00A609E4">
        <w:rPr>
          <w:b/>
        </w:rPr>
        <w:t>Note</w:t>
      </w:r>
      <w:r w:rsidRPr="001059B3">
        <w:t xml:space="preserve">: </w:t>
      </w:r>
      <w:r>
        <w:t xml:space="preserve">5.25% sodium hypochlorite may no longer be commercially available. Current concentrations may be 6 or 8.25%. </w:t>
      </w:r>
    </w:p>
    <w:p w14:paraId="12E0299F" w14:textId="3B05080A" w:rsidR="00653D4D" w:rsidRPr="001059B3" w:rsidRDefault="00653D4D" w:rsidP="00653D4D">
      <w:pPr>
        <w:pStyle w:val="SOPFormatting2"/>
      </w:pPr>
      <w:r w:rsidRPr="001059B3">
        <w:t xml:space="preserve">Containers for making </w:t>
      </w:r>
      <w:r>
        <w:t>dilute</w:t>
      </w:r>
      <w:r>
        <w:t xml:space="preserve"> </w:t>
      </w:r>
      <w:r w:rsidRPr="001059B3">
        <w:t>bleach</w:t>
      </w:r>
      <w:r>
        <w:t>.</w:t>
      </w:r>
    </w:p>
    <w:p w14:paraId="3CA97D19" w14:textId="77777777" w:rsidR="00653D4D" w:rsidRPr="00C449F2" w:rsidRDefault="00653D4D" w:rsidP="00653D4D">
      <w:pPr>
        <w:pStyle w:val="SOPFormatting2"/>
      </w:pPr>
      <w:r w:rsidRPr="00C449F2">
        <w:t xml:space="preserve">Measuring </w:t>
      </w:r>
      <w:r>
        <w:t>tools (e.g., graduated cylinders)</w:t>
      </w:r>
      <w:r w:rsidRPr="00C449F2">
        <w:t>.</w:t>
      </w:r>
    </w:p>
    <w:p w14:paraId="4D30F4BC" w14:textId="77777777" w:rsidR="00653D4D" w:rsidRPr="00BC17CC" w:rsidRDefault="00653D4D" w:rsidP="00653D4D">
      <w:pPr>
        <w:pStyle w:val="SOPFormatting"/>
      </w:pPr>
      <w:r w:rsidRPr="00BC17CC">
        <w:t>PROGRAM OVERVIEW</w:t>
      </w:r>
    </w:p>
    <w:p w14:paraId="6A29A32A" w14:textId="77777777" w:rsidR="00653D4D" w:rsidRDefault="00653D4D" w:rsidP="00653D4D">
      <w:pPr>
        <w:pStyle w:val="SOPFormatting2"/>
      </w:pPr>
      <w:r w:rsidRPr="001059B3">
        <w:t>Follow all safety precautions and wear appropriate PPE.</w:t>
      </w:r>
    </w:p>
    <w:p w14:paraId="7F046B8E" w14:textId="14CEBF34" w:rsidR="00194E56" w:rsidRDefault="00653D4D" w:rsidP="00653D4D">
      <w:pPr>
        <w:pStyle w:val="SOPFormatting2"/>
      </w:pPr>
      <w:r w:rsidRPr="001059B3">
        <w:t xml:space="preserve">Calculate the appropriate amount of bleach to be added </w:t>
      </w:r>
      <w:r>
        <w:t xml:space="preserve">to the sample </w:t>
      </w:r>
      <w:r w:rsidRPr="001059B3">
        <w:t>that will provide a final concentration</w:t>
      </w:r>
      <w:r>
        <w:t xml:space="preserve"> of </w:t>
      </w:r>
      <w:r w:rsidR="00194E56">
        <w:t>0.12</w:t>
      </w:r>
      <w:r>
        <w:t xml:space="preserve">% </w:t>
      </w:r>
      <w:r w:rsidR="00194E56">
        <w:t xml:space="preserve">sodium hypochlorite. This will vary depending on the original concentration of sodium hypochlorite in the liquid bleach. Michigan State has released guidance </w:t>
      </w:r>
      <w:r w:rsidR="00194E56">
        <w:lastRenderedPageBreak/>
        <w:t>on how to appropriately dilute bleach solutions based off of original sodium hypochlorite solutions. The infographic is below.</w:t>
      </w:r>
    </w:p>
    <w:p w14:paraId="5FABA354" w14:textId="2DB8ACB9" w:rsidR="00792895" w:rsidRDefault="00792895" w:rsidP="00792895">
      <w:pPr>
        <w:pStyle w:val="SOPFormatting2"/>
        <w:numPr>
          <w:ilvl w:val="0"/>
          <w:numId w:val="0"/>
        </w:numPr>
        <w:ind w:left="720"/>
      </w:pPr>
      <w:bookmarkStart w:id="0" w:name="_GoBack"/>
      <w:bookmarkEnd w:id="0"/>
      <w:r>
        <w:rPr>
          <w:noProof/>
        </w:rPr>
        <w:drawing>
          <wp:inline distT="0" distB="0" distL="0" distR="0" wp14:anchorId="20C6F041" wp14:editId="6FD4AB8F">
            <wp:extent cx="5549900" cy="5412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4 at 10.05.01 AM.png"/>
                    <pic:cNvPicPr/>
                  </pic:nvPicPr>
                  <pic:blipFill>
                    <a:blip r:embed="rId8">
                      <a:extLst>
                        <a:ext uri="{28A0092B-C50C-407E-A947-70E740481C1C}">
                          <a14:useLocalDpi xmlns:a14="http://schemas.microsoft.com/office/drawing/2010/main" val="0"/>
                        </a:ext>
                      </a:extLst>
                    </a:blip>
                    <a:stretch>
                      <a:fillRect/>
                    </a:stretch>
                  </pic:blipFill>
                  <pic:spPr>
                    <a:xfrm>
                      <a:off x="0" y="0"/>
                      <a:ext cx="5551921" cy="5413992"/>
                    </a:xfrm>
                    <a:prstGeom prst="rect">
                      <a:avLst/>
                    </a:prstGeom>
                  </pic:spPr>
                </pic:pic>
              </a:graphicData>
            </a:graphic>
          </wp:inline>
        </w:drawing>
      </w:r>
    </w:p>
    <w:p w14:paraId="348CF399" w14:textId="43CC44D7" w:rsidR="00653D4D" w:rsidRDefault="00653D4D" w:rsidP="00792895">
      <w:pPr>
        <w:pStyle w:val="SOPFormatting2"/>
        <w:numPr>
          <w:ilvl w:val="0"/>
          <w:numId w:val="0"/>
        </w:numPr>
        <w:ind w:left="720"/>
        <w:rPr>
          <w:bCs/>
        </w:rPr>
      </w:pPr>
      <w:r w:rsidRPr="001059B3">
        <w:t xml:space="preserve"> </w:t>
      </w:r>
    </w:p>
    <w:p w14:paraId="6BBE5DBC" w14:textId="3AC46CA9" w:rsidR="00653D4D" w:rsidRDefault="00653D4D" w:rsidP="00653D4D">
      <w:pPr>
        <w:pStyle w:val="SOPFormatting2"/>
      </w:pPr>
      <w:r>
        <w:t>Affix a label to the container: “</w:t>
      </w:r>
      <w:r w:rsidR="00792895">
        <w:t>0.12</w:t>
      </w:r>
      <w:r>
        <w:t xml:space="preserve">% </w:t>
      </w:r>
      <w:r w:rsidR="00792895">
        <w:t>Sodium Hypochlorite</w:t>
      </w:r>
      <w:r>
        <w:t>”, with the date, your name, and the time.</w:t>
      </w:r>
    </w:p>
    <w:p w14:paraId="011EF2CE" w14:textId="57B467F1" w:rsidR="00653D4D" w:rsidRDefault="00653D4D" w:rsidP="00653D4D">
      <w:pPr>
        <w:pStyle w:val="SOPFormatting2"/>
      </w:pPr>
      <w:r>
        <w:t xml:space="preserve">A </w:t>
      </w:r>
      <w:r w:rsidR="00792895">
        <w:t>contact time of 1-</w:t>
      </w:r>
      <w:r w:rsidR="00F137C8">
        <w:t>10</w:t>
      </w:r>
      <w:r w:rsidR="00792895">
        <w:t xml:space="preserve"> minutes is required for effectiveness</w:t>
      </w:r>
    </w:p>
    <w:p w14:paraId="1B5585E8" w14:textId="48C1ED6E" w:rsidR="00653D4D" w:rsidRDefault="00F137C8" w:rsidP="00653D4D">
      <w:pPr>
        <w:pStyle w:val="SOPFormatting2"/>
      </w:pPr>
      <w:r>
        <w:t>Following disinfection, the surface should be wiped with clean water to remove residue</w:t>
      </w:r>
      <w:r w:rsidR="00653D4D">
        <w:t>.</w:t>
      </w:r>
    </w:p>
    <w:p w14:paraId="3AFECA2F" w14:textId="77777777" w:rsidR="00653D4D" w:rsidRDefault="00653D4D" w:rsidP="00653D4D">
      <w:pPr>
        <w:ind w:left="720" w:firstLine="0"/>
        <w:rPr>
          <w:rFonts w:ascii="Arial" w:hAnsi="Arial" w:cs="Arial"/>
          <w:bCs/>
          <w:color w:val="000000"/>
          <w:sz w:val="22"/>
          <w:szCs w:val="22"/>
        </w:rPr>
      </w:pPr>
    </w:p>
    <w:p w14:paraId="5B9F3531" w14:textId="77777777" w:rsidR="00653D4D" w:rsidRPr="006A56BF" w:rsidRDefault="00653D4D" w:rsidP="00653D4D">
      <w:pPr>
        <w:pStyle w:val="SOPFormatting"/>
      </w:pPr>
      <w:r w:rsidRPr="00B115A5">
        <w:t>REFERENCES</w:t>
      </w:r>
    </w:p>
    <w:p w14:paraId="05C87F4E" w14:textId="3202F781" w:rsidR="00653D4D" w:rsidRPr="006A56BF" w:rsidRDefault="00F137C8" w:rsidP="00653D4D">
      <w:pPr>
        <w:pStyle w:val="SOPFormatting2"/>
        <w:rPr>
          <w:rStyle w:val="Hyperlink"/>
          <w:color w:val="auto"/>
        </w:rPr>
      </w:pPr>
      <w:r>
        <w:lastRenderedPageBreak/>
        <w:t>Anderson, E., and J. Li</w:t>
      </w:r>
      <w:r w:rsidR="00653D4D" w:rsidRPr="006A56BF">
        <w:t>.</w:t>
      </w:r>
      <w:r>
        <w:t xml:space="preserve"> March 13,</w:t>
      </w:r>
      <w:r w:rsidR="00653D4D" w:rsidRPr="006A56BF">
        <w:rPr>
          <w:b/>
        </w:rPr>
        <w:t xml:space="preserve"> </w:t>
      </w:r>
      <w:r w:rsidR="00653D4D" w:rsidRPr="00FF6550">
        <w:t>20</w:t>
      </w:r>
      <w:r>
        <w:t>20</w:t>
      </w:r>
      <w:r w:rsidR="00653D4D" w:rsidRPr="00FF6550">
        <w:t>.</w:t>
      </w:r>
      <w:r w:rsidR="00653D4D">
        <w:rPr>
          <w:b/>
        </w:rPr>
        <w:t xml:space="preserve"> </w:t>
      </w:r>
      <w:r>
        <w:t xml:space="preserve">COVID-19 – Disinfecting with Bleach. Michigan State University, Center for Research on Ingredient Safety. </w:t>
      </w:r>
      <w:r w:rsidR="00653D4D" w:rsidRPr="006A56BF">
        <w:t xml:space="preserve">Available at: </w:t>
      </w:r>
      <w:r w:rsidRPr="00F137C8">
        <w:t>https://www.canr.msu.edu/news/covid-19-disinfecting-with-bleach</w:t>
      </w:r>
    </w:p>
    <w:p w14:paraId="77C89964" w14:textId="51360362" w:rsidR="00653D4D" w:rsidRDefault="00F137C8" w:rsidP="00653D4D">
      <w:pPr>
        <w:pStyle w:val="SOPFormatting2"/>
      </w:pPr>
      <w:r>
        <w:t xml:space="preserve">Center for Disease Control. 2019. Cleaning and Disinfection for Households: Interim Recommendations for U.S. Households with </w:t>
      </w:r>
      <w:proofErr w:type="spellStart"/>
      <w:r>
        <w:t>Cornavirus</w:t>
      </w:r>
      <w:proofErr w:type="spellEnd"/>
      <w:r>
        <w:t xml:space="preserve"> Disease 2019. Available at: </w:t>
      </w:r>
      <w:r w:rsidRPr="00F137C8">
        <w:t>https://www.cdc.gov/coronavirus/2019-ncov/prevent-getting-sick/cleaning-disinfection.html</w:t>
      </w:r>
    </w:p>
    <w:p w14:paraId="67348B38" w14:textId="77777777" w:rsidR="00653D4D" w:rsidRPr="0055715A" w:rsidRDefault="00653D4D" w:rsidP="00653D4D">
      <w:pPr>
        <w:shd w:val="clear" w:color="auto" w:fill="FFFFFF"/>
        <w:ind w:left="720" w:firstLine="0"/>
        <w:outlineLvl w:val="0"/>
        <w:rPr>
          <w:rFonts w:ascii="Arial" w:hAnsi="Arial" w:cs="Arial"/>
          <w:color w:val="000000"/>
          <w:sz w:val="22"/>
          <w:szCs w:val="22"/>
        </w:rPr>
      </w:pPr>
    </w:p>
    <w:p w14:paraId="65CDCFB0" w14:textId="77777777" w:rsidR="00653D4D" w:rsidRPr="006F1097" w:rsidRDefault="00653D4D" w:rsidP="00653D4D">
      <w:pPr>
        <w:pStyle w:val="SOPFormatting"/>
      </w:pPr>
      <w:r w:rsidRPr="006F1097">
        <w:t>TRAINING REQUIREMENTS</w:t>
      </w:r>
    </w:p>
    <w:p w14:paraId="23A585CE" w14:textId="77777777" w:rsidR="00653D4D" w:rsidRPr="006B5A8B" w:rsidRDefault="00653D4D" w:rsidP="00653D4D">
      <w:pPr>
        <w:pStyle w:val="SOPFormatting2"/>
      </w:pPr>
      <w:r>
        <w:t xml:space="preserve">New lab personnel will be trained by observing experienced lab personnel performing the procedure. </w:t>
      </w:r>
    </w:p>
    <w:p w14:paraId="200AF4C6" w14:textId="7EFF3B6D" w:rsidR="00653D4D" w:rsidRPr="006B5A8B" w:rsidRDefault="00653D4D" w:rsidP="00653D4D">
      <w:pPr>
        <w:pStyle w:val="SOPFormatting2"/>
      </w:pPr>
      <w:r w:rsidRPr="006B5A8B">
        <w:t>This SOP is required training for</w:t>
      </w:r>
      <w:r>
        <w:t xml:space="preserve"> all personnel who </w:t>
      </w:r>
      <w:r w:rsidR="000F6327">
        <w:t>disinfect surfaces using dilute bleach solutions.</w:t>
      </w:r>
    </w:p>
    <w:p w14:paraId="5F5D079A" w14:textId="77777777" w:rsidR="00653D4D" w:rsidRDefault="00653D4D" w:rsidP="00653D4D">
      <w:pPr>
        <w:pStyle w:val="SOPFormatting"/>
      </w:pPr>
      <w:r w:rsidRPr="00F7199E">
        <w:t>REVISION HISTORY</w:t>
      </w:r>
    </w:p>
    <w:tbl>
      <w:tblPr>
        <w:tblW w:w="0" w:type="auto"/>
        <w:tblInd w:w="82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1350"/>
        <w:gridCol w:w="1961"/>
        <w:gridCol w:w="6039"/>
      </w:tblGrid>
      <w:tr w:rsidR="00653D4D" w:rsidRPr="00F7199E" w14:paraId="3BD20B45" w14:textId="77777777" w:rsidTr="00E544BF">
        <w:tc>
          <w:tcPr>
            <w:tcW w:w="1350" w:type="dxa"/>
            <w:vAlign w:val="center"/>
          </w:tcPr>
          <w:p w14:paraId="0EF97737" w14:textId="77777777" w:rsidR="00653D4D" w:rsidRPr="00BC17CC" w:rsidRDefault="00653D4D" w:rsidP="00E544BF">
            <w:pPr>
              <w:shd w:val="clear" w:color="auto" w:fill="FFFFFF"/>
              <w:spacing w:before="120" w:after="120"/>
              <w:ind w:hanging="682"/>
              <w:rPr>
                <w:rFonts w:ascii="Arial" w:hAnsi="Arial" w:cs="Arial"/>
                <w:b/>
                <w:color w:val="000000"/>
                <w:sz w:val="22"/>
                <w:szCs w:val="22"/>
              </w:rPr>
            </w:pPr>
            <w:r w:rsidRPr="00BC17CC">
              <w:rPr>
                <w:rFonts w:ascii="Arial" w:hAnsi="Arial" w:cs="Arial"/>
                <w:b/>
                <w:color w:val="000000"/>
                <w:sz w:val="22"/>
                <w:szCs w:val="22"/>
              </w:rPr>
              <w:t>Version</w:t>
            </w:r>
          </w:p>
        </w:tc>
        <w:tc>
          <w:tcPr>
            <w:tcW w:w="1962" w:type="dxa"/>
            <w:vAlign w:val="center"/>
          </w:tcPr>
          <w:p w14:paraId="135F2B69" w14:textId="77777777" w:rsidR="00653D4D" w:rsidRPr="005A3C40" w:rsidRDefault="00653D4D" w:rsidP="00E544BF">
            <w:pPr>
              <w:shd w:val="clear" w:color="auto" w:fill="FFFFFF"/>
              <w:spacing w:before="120" w:after="120"/>
              <w:ind w:hanging="716"/>
              <w:rPr>
                <w:rFonts w:ascii="Arial" w:hAnsi="Arial" w:cs="Arial"/>
                <w:b/>
                <w:color w:val="000000"/>
                <w:sz w:val="22"/>
                <w:szCs w:val="22"/>
              </w:rPr>
            </w:pPr>
            <w:r w:rsidRPr="00BC17CC">
              <w:rPr>
                <w:rFonts w:ascii="Arial" w:hAnsi="Arial" w:cs="Arial"/>
                <w:b/>
                <w:color w:val="000000"/>
                <w:sz w:val="22"/>
                <w:szCs w:val="22"/>
              </w:rPr>
              <w:t>Effective Date</w:t>
            </w:r>
          </w:p>
        </w:tc>
        <w:tc>
          <w:tcPr>
            <w:tcW w:w="6048" w:type="dxa"/>
            <w:vAlign w:val="center"/>
          </w:tcPr>
          <w:p w14:paraId="451117FC" w14:textId="77777777" w:rsidR="00653D4D" w:rsidRPr="005A3C40" w:rsidRDefault="00653D4D" w:rsidP="00E544BF">
            <w:pPr>
              <w:shd w:val="clear" w:color="auto" w:fill="FFFFFF"/>
              <w:spacing w:before="120" w:after="120"/>
              <w:ind w:hanging="690"/>
              <w:rPr>
                <w:rFonts w:ascii="Arial" w:hAnsi="Arial" w:cs="Arial"/>
                <w:b/>
                <w:color w:val="000000"/>
                <w:sz w:val="22"/>
                <w:szCs w:val="22"/>
              </w:rPr>
            </w:pPr>
            <w:r w:rsidRPr="005A3C40">
              <w:rPr>
                <w:rFonts w:ascii="Arial" w:hAnsi="Arial" w:cs="Arial"/>
                <w:b/>
                <w:color w:val="000000"/>
                <w:sz w:val="22"/>
                <w:szCs w:val="22"/>
              </w:rPr>
              <w:t>Summary of Change</w:t>
            </w:r>
          </w:p>
        </w:tc>
      </w:tr>
      <w:tr w:rsidR="00653D4D" w:rsidRPr="00F7199E" w14:paraId="7DE3ED81" w14:textId="77777777" w:rsidTr="00E544BF">
        <w:tc>
          <w:tcPr>
            <w:tcW w:w="1350" w:type="dxa"/>
            <w:vAlign w:val="center"/>
          </w:tcPr>
          <w:p w14:paraId="04071F0D" w14:textId="77777777" w:rsidR="00653D4D" w:rsidRPr="00F7199E" w:rsidRDefault="00653D4D" w:rsidP="00E544BF">
            <w:pPr>
              <w:shd w:val="clear" w:color="auto" w:fill="FFFFFF"/>
              <w:spacing w:before="120" w:after="120"/>
              <w:ind w:hanging="682"/>
              <w:rPr>
                <w:rFonts w:ascii="Arial" w:hAnsi="Arial" w:cs="Arial"/>
                <w:color w:val="000000"/>
                <w:sz w:val="22"/>
                <w:szCs w:val="22"/>
              </w:rPr>
            </w:pPr>
            <w:r>
              <w:rPr>
                <w:rFonts w:ascii="Arial" w:hAnsi="Arial" w:cs="Arial"/>
                <w:color w:val="000000"/>
                <w:sz w:val="22"/>
                <w:szCs w:val="22"/>
              </w:rPr>
              <w:t>1</w:t>
            </w:r>
          </w:p>
        </w:tc>
        <w:tc>
          <w:tcPr>
            <w:tcW w:w="1962" w:type="dxa"/>
            <w:vAlign w:val="center"/>
          </w:tcPr>
          <w:p w14:paraId="203EE60E" w14:textId="3DBE6A38" w:rsidR="00653D4D" w:rsidRPr="00BC17CC" w:rsidRDefault="000F6327" w:rsidP="00E544BF">
            <w:pPr>
              <w:shd w:val="clear" w:color="auto" w:fill="FFFFFF"/>
              <w:spacing w:before="120" w:after="120"/>
              <w:ind w:hanging="716"/>
              <w:rPr>
                <w:rFonts w:ascii="Arial" w:hAnsi="Arial" w:cs="Arial"/>
                <w:color w:val="000000"/>
                <w:sz w:val="22"/>
                <w:szCs w:val="22"/>
              </w:rPr>
            </w:pPr>
            <w:r>
              <w:rPr>
                <w:rFonts w:ascii="Arial" w:hAnsi="Arial" w:cs="Arial"/>
                <w:color w:val="000000"/>
                <w:sz w:val="22"/>
                <w:szCs w:val="22"/>
              </w:rPr>
              <w:t>5-14-2020</w:t>
            </w:r>
          </w:p>
        </w:tc>
        <w:tc>
          <w:tcPr>
            <w:tcW w:w="6048" w:type="dxa"/>
            <w:vAlign w:val="center"/>
          </w:tcPr>
          <w:p w14:paraId="280C60A2" w14:textId="77777777" w:rsidR="00653D4D" w:rsidRPr="005A3C40" w:rsidRDefault="00653D4D" w:rsidP="00E544BF">
            <w:pPr>
              <w:shd w:val="clear" w:color="auto" w:fill="FFFFFF"/>
              <w:spacing w:before="120" w:after="120"/>
              <w:ind w:hanging="690"/>
              <w:rPr>
                <w:rFonts w:ascii="Arial" w:hAnsi="Arial" w:cs="Arial"/>
                <w:color w:val="000000"/>
                <w:sz w:val="22"/>
                <w:szCs w:val="22"/>
              </w:rPr>
            </w:pPr>
            <w:r>
              <w:rPr>
                <w:rFonts w:ascii="Arial" w:hAnsi="Arial" w:cs="Arial"/>
                <w:color w:val="000000"/>
                <w:sz w:val="22"/>
                <w:szCs w:val="22"/>
              </w:rPr>
              <w:t xml:space="preserve">Develop new SOP </w:t>
            </w:r>
          </w:p>
        </w:tc>
      </w:tr>
      <w:tr w:rsidR="00653D4D" w:rsidRPr="00F7199E" w14:paraId="66158B85" w14:textId="77777777" w:rsidTr="00E544BF">
        <w:tc>
          <w:tcPr>
            <w:tcW w:w="1350" w:type="dxa"/>
            <w:vAlign w:val="center"/>
          </w:tcPr>
          <w:p w14:paraId="2C1B7915" w14:textId="77777777" w:rsidR="00653D4D" w:rsidRPr="00F7199E" w:rsidRDefault="00653D4D" w:rsidP="00E544BF">
            <w:pPr>
              <w:shd w:val="clear" w:color="auto" w:fill="FFFFFF"/>
              <w:spacing w:before="120" w:after="120"/>
              <w:ind w:hanging="682"/>
              <w:rPr>
                <w:rFonts w:ascii="Arial" w:hAnsi="Arial" w:cs="Arial"/>
                <w:color w:val="000000"/>
                <w:sz w:val="22"/>
                <w:szCs w:val="22"/>
              </w:rPr>
            </w:pPr>
            <w:r>
              <w:rPr>
                <w:rFonts w:ascii="Arial" w:hAnsi="Arial" w:cs="Arial"/>
                <w:color w:val="000000"/>
                <w:sz w:val="22"/>
                <w:szCs w:val="22"/>
              </w:rPr>
              <w:t>2</w:t>
            </w:r>
          </w:p>
        </w:tc>
        <w:tc>
          <w:tcPr>
            <w:tcW w:w="1962" w:type="dxa"/>
            <w:vAlign w:val="center"/>
          </w:tcPr>
          <w:p w14:paraId="3500E0FD" w14:textId="77777777" w:rsidR="00653D4D" w:rsidRPr="00BC17CC" w:rsidRDefault="00653D4D" w:rsidP="00E544BF">
            <w:pPr>
              <w:shd w:val="clear" w:color="auto" w:fill="FFFFFF"/>
              <w:spacing w:before="120" w:after="120"/>
              <w:ind w:hanging="716"/>
              <w:rPr>
                <w:rFonts w:ascii="Arial" w:hAnsi="Arial" w:cs="Arial"/>
                <w:b/>
                <w:color w:val="000000"/>
                <w:sz w:val="22"/>
                <w:szCs w:val="22"/>
              </w:rPr>
            </w:pPr>
          </w:p>
        </w:tc>
        <w:tc>
          <w:tcPr>
            <w:tcW w:w="6048" w:type="dxa"/>
            <w:vAlign w:val="center"/>
          </w:tcPr>
          <w:p w14:paraId="7DC412E3" w14:textId="77777777" w:rsidR="00653D4D" w:rsidRPr="00BC17CC" w:rsidRDefault="00653D4D" w:rsidP="00E544BF">
            <w:pPr>
              <w:shd w:val="clear" w:color="auto" w:fill="FFFFFF"/>
              <w:spacing w:before="120" w:after="120"/>
              <w:ind w:left="0" w:firstLine="0"/>
              <w:rPr>
                <w:rFonts w:ascii="Arial" w:hAnsi="Arial" w:cs="Arial"/>
                <w:color w:val="000000"/>
                <w:sz w:val="22"/>
                <w:szCs w:val="22"/>
              </w:rPr>
            </w:pPr>
          </w:p>
        </w:tc>
      </w:tr>
    </w:tbl>
    <w:p w14:paraId="63964D4C" w14:textId="77777777" w:rsidR="00653D4D" w:rsidRDefault="00653D4D" w:rsidP="00653D4D">
      <w:pPr>
        <w:widowControl w:val="0"/>
        <w:shd w:val="clear" w:color="auto" w:fill="FFFFFF"/>
        <w:tabs>
          <w:tab w:val="left" w:pos="-1440"/>
        </w:tabs>
        <w:autoSpaceDE w:val="0"/>
        <w:autoSpaceDN w:val="0"/>
        <w:adjustRightInd w:val="0"/>
        <w:spacing w:before="120" w:after="120"/>
        <w:rPr>
          <w:rFonts w:ascii="Arial" w:hAnsi="Arial" w:cs="Arial"/>
          <w:sz w:val="22"/>
          <w:szCs w:val="22"/>
        </w:rPr>
      </w:pPr>
    </w:p>
    <w:p w14:paraId="1820509A" w14:textId="77777777" w:rsidR="00653D4D" w:rsidRDefault="00653D4D" w:rsidP="00653D4D">
      <w:pPr>
        <w:spacing w:after="120"/>
        <w:ind w:right="-234"/>
        <w:rPr>
          <w:rFonts w:ascii="Arial" w:hAnsi="Arial" w:cs="Arial"/>
          <w:b/>
          <w:bCs/>
          <w:sz w:val="22"/>
          <w:szCs w:val="22"/>
        </w:rPr>
      </w:pPr>
    </w:p>
    <w:p w14:paraId="2AC0DE51" w14:textId="77777777" w:rsidR="00653D4D" w:rsidRDefault="00653D4D" w:rsidP="00653D4D">
      <w:pPr>
        <w:spacing w:after="120"/>
        <w:ind w:right="-234"/>
        <w:rPr>
          <w:rFonts w:ascii="Arial" w:hAnsi="Arial" w:cs="Arial"/>
          <w:b/>
          <w:bCs/>
          <w:sz w:val="22"/>
          <w:szCs w:val="22"/>
        </w:rPr>
        <w:sectPr w:rsidR="00653D4D" w:rsidSect="006F1097">
          <w:headerReference w:type="default" r:id="rId9"/>
          <w:footerReference w:type="default" r:id="rId10"/>
          <w:headerReference w:type="first" r:id="rId11"/>
          <w:pgSz w:w="12240" w:h="15840" w:code="1"/>
          <w:pgMar w:top="2448" w:right="1008" w:bottom="864" w:left="1008" w:header="734" w:footer="734" w:gutter="0"/>
          <w:cols w:space="720"/>
        </w:sectPr>
      </w:pPr>
    </w:p>
    <w:p w14:paraId="78D7FC87" w14:textId="77777777" w:rsidR="00392E21" w:rsidRDefault="006349A3"/>
    <w:sectPr w:rsidR="00392E21" w:rsidSect="00DB6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2E35" w14:textId="77777777" w:rsidR="006349A3" w:rsidRDefault="006349A3" w:rsidP="00653D4D">
      <w:pPr>
        <w:spacing w:before="0" w:after="0"/>
      </w:pPr>
      <w:r>
        <w:separator/>
      </w:r>
    </w:p>
  </w:endnote>
  <w:endnote w:type="continuationSeparator" w:id="0">
    <w:p w14:paraId="0CA6D9B5" w14:textId="77777777" w:rsidR="006349A3" w:rsidRDefault="006349A3" w:rsidP="00653D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8867"/>
      <w:docPartObj>
        <w:docPartGallery w:val="Page Numbers (Bottom of Page)"/>
        <w:docPartUnique/>
      </w:docPartObj>
    </w:sdtPr>
    <w:sdtEndPr>
      <w:rPr>
        <w:noProof/>
      </w:rPr>
    </w:sdtEndPr>
    <w:sdtContent>
      <w:p w14:paraId="5BEC988C" w14:textId="77777777" w:rsidR="003D1BDD" w:rsidRDefault="006349A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A51099" w14:textId="77777777" w:rsidR="003D1BDD" w:rsidRDefault="006349A3">
    <w:pPr>
      <w:pStyle w:val="Footer"/>
    </w:pPr>
    <w:r>
      <w:t>SOP-SAF-2013.1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CE30" w14:textId="77777777" w:rsidR="006349A3" w:rsidRDefault="006349A3" w:rsidP="00653D4D">
      <w:pPr>
        <w:spacing w:before="0" w:after="0"/>
      </w:pPr>
      <w:r>
        <w:separator/>
      </w:r>
    </w:p>
  </w:footnote>
  <w:footnote w:type="continuationSeparator" w:id="0">
    <w:p w14:paraId="7827642E" w14:textId="77777777" w:rsidR="006349A3" w:rsidRDefault="006349A3" w:rsidP="00653D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5242"/>
    </w:tblGrid>
    <w:tr w:rsidR="003D1BDD" w:rsidRPr="00A13B9E" w14:paraId="3D2A7A9D" w14:textId="77777777" w:rsidTr="00CA207C">
      <w:trPr>
        <w:trHeight w:val="366"/>
      </w:trPr>
      <w:tc>
        <w:tcPr>
          <w:tcW w:w="10260" w:type="dxa"/>
          <w:gridSpan w:val="2"/>
          <w:tcBorders>
            <w:top w:val="double" w:sz="4" w:space="0" w:color="auto"/>
            <w:left w:val="double" w:sz="4" w:space="0" w:color="auto"/>
            <w:right w:val="double" w:sz="4" w:space="0" w:color="auto"/>
          </w:tcBorders>
          <w:shd w:val="clear" w:color="auto" w:fill="auto"/>
          <w:vAlign w:val="center"/>
        </w:tcPr>
        <w:p w14:paraId="441D9002" w14:textId="77777777" w:rsidR="003D1BDD" w:rsidRPr="00A13B9E" w:rsidRDefault="006349A3" w:rsidP="000C7CFC">
          <w:pPr>
            <w:pStyle w:val="Header"/>
            <w:ind w:left="0" w:firstLine="0"/>
            <w:jc w:val="both"/>
            <w:rPr>
              <w:rFonts w:ascii="Arial" w:hAnsi="Arial" w:cs="Arial"/>
              <w:sz w:val="22"/>
              <w:szCs w:val="22"/>
            </w:rPr>
          </w:pPr>
          <w:r>
            <w:rPr>
              <w:rFonts w:ascii="Arial" w:hAnsi="Arial" w:cs="Arial"/>
              <w:b/>
              <w:sz w:val="24"/>
              <w:szCs w:val="24"/>
            </w:rPr>
            <w:t>Standard Operating Procedure</w:t>
          </w:r>
        </w:p>
      </w:tc>
    </w:tr>
    <w:tr w:rsidR="003D1BDD" w:rsidRPr="00A13B9E" w14:paraId="43BE07D1" w14:textId="77777777" w:rsidTr="00CA207C">
      <w:trPr>
        <w:trHeight w:val="366"/>
      </w:trPr>
      <w:tc>
        <w:tcPr>
          <w:tcW w:w="10260" w:type="dxa"/>
          <w:gridSpan w:val="2"/>
          <w:tcBorders>
            <w:top w:val="single" w:sz="4" w:space="0" w:color="auto"/>
            <w:left w:val="double" w:sz="4" w:space="0" w:color="auto"/>
            <w:right w:val="double" w:sz="4" w:space="0" w:color="auto"/>
          </w:tcBorders>
          <w:shd w:val="clear" w:color="auto" w:fill="auto"/>
          <w:vAlign w:val="center"/>
        </w:tcPr>
        <w:p w14:paraId="21AEA35E" w14:textId="1F8CD0A9" w:rsidR="003D1BDD" w:rsidRPr="00653D4D" w:rsidRDefault="006349A3" w:rsidP="000C7CFC">
          <w:pPr>
            <w:pStyle w:val="Header"/>
            <w:ind w:left="0" w:firstLine="0"/>
            <w:rPr>
              <w:rFonts w:ascii="Arial" w:hAnsi="Arial" w:cs="Arial"/>
              <w:sz w:val="24"/>
              <w:szCs w:val="24"/>
            </w:rPr>
          </w:pPr>
          <w:r>
            <w:rPr>
              <w:rFonts w:ascii="Arial" w:hAnsi="Arial" w:cs="Arial"/>
              <w:b/>
              <w:sz w:val="24"/>
              <w:szCs w:val="24"/>
            </w:rPr>
            <w:t xml:space="preserve">Owner Group: </w:t>
          </w:r>
          <w:r w:rsidR="00653D4D">
            <w:rPr>
              <w:rFonts w:ascii="Arial" w:hAnsi="Arial" w:cs="Arial"/>
              <w:sz w:val="24"/>
              <w:szCs w:val="24"/>
            </w:rPr>
            <w:t>RMI Safety Committee</w:t>
          </w:r>
        </w:p>
      </w:tc>
    </w:tr>
    <w:tr w:rsidR="003D1BDD" w:rsidRPr="00A13B9E" w14:paraId="3E40E001" w14:textId="77777777" w:rsidTr="00CA207C">
      <w:trPr>
        <w:trHeight w:val="366"/>
      </w:trPr>
      <w:tc>
        <w:tcPr>
          <w:tcW w:w="10260" w:type="dxa"/>
          <w:gridSpan w:val="2"/>
          <w:tcBorders>
            <w:top w:val="single" w:sz="4" w:space="0" w:color="auto"/>
            <w:left w:val="double" w:sz="4" w:space="0" w:color="auto"/>
            <w:right w:val="double" w:sz="4" w:space="0" w:color="auto"/>
          </w:tcBorders>
          <w:shd w:val="clear" w:color="auto" w:fill="auto"/>
          <w:vAlign w:val="center"/>
        </w:tcPr>
        <w:p w14:paraId="6C3EBF61" w14:textId="6424831F" w:rsidR="003D1BDD" w:rsidRDefault="006349A3" w:rsidP="00ED5983">
          <w:pPr>
            <w:pStyle w:val="Header"/>
            <w:ind w:left="0" w:firstLine="0"/>
            <w:rPr>
              <w:rFonts w:ascii="Arial" w:hAnsi="Arial" w:cs="Arial"/>
              <w:b/>
              <w:sz w:val="24"/>
              <w:szCs w:val="24"/>
            </w:rPr>
          </w:pPr>
          <w:r>
            <w:rPr>
              <w:rFonts w:ascii="Arial" w:hAnsi="Arial" w:cs="Arial"/>
              <w:b/>
              <w:sz w:val="24"/>
              <w:szCs w:val="24"/>
            </w:rPr>
            <w:t>Document Title</w:t>
          </w:r>
          <w:r w:rsidRPr="00CA207C">
            <w:rPr>
              <w:rFonts w:ascii="Arial" w:hAnsi="Arial" w:cs="Arial"/>
              <w:sz w:val="24"/>
              <w:szCs w:val="24"/>
            </w:rPr>
            <w:t xml:space="preserve">: </w:t>
          </w:r>
          <w:r w:rsidR="00653D4D">
            <w:rPr>
              <w:rFonts w:ascii="Arial" w:hAnsi="Arial" w:cs="Arial"/>
              <w:sz w:val="24"/>
              <w:szCs w:val="24"/>
            </w:rPr>
            <w:t>Dilute bleach solutions for disinfection of surfaces</w:t>
          </w:r>
        </w:p>
      </w:tc>
    </w:tr>
    <w:tr w:rsidR="003D1BDD" w:rsidRPr="00A13B9E" w14:paraId="3E178A0A" w14:textId="77777777" w:rsidTr="00CA207C">
      <w:trPr>
        <w:trHeight w:val="366"/>
      </w:trPr>
      <w:tc>
        <w:tcPr>
          <w:tcW w:w="5018" w:type="dxa"/>
          <w:tcBorders>
            <w:top w:val="single" w:sz="2" w:space="0" w:color="auto"/>
            <w:left w:val="double" w:sz="4" w:space="0" w:color="auto"/>
            <w:bottom w:val="double" w:sz="4" w:space="0" w:color="auto"/>
            <w:right w:val="double" w:sz="4" w:space="0" w:color="auto"/>
          </w:tcBorders>
          <w:shd w:val="clear" w:color="auto" w:fill="auto"/>
          <w:vAlign w:val="center"/>
        </w:tcPr>
        <w:p w14:paraId="59DE5244" w14:textId="36DD248E" w:rsidR="003D1BDD" w:rsidRPr="00A13B9E" w:rsidRDefault="006349A3" w:rsidP="004721C2">
          <w:pPr>
            <w:pStyle w:val="Header"/>
            <w:spacing w:before="40"/>
            <w:ind w:left="0" w:firstLine="0"/>
            <w:rPr>
              <w:rFonts w:ascii="Arial" w:hAnsi="Arial" w:cs="Arial"/>
              <w:sz w:val="22"/>
              <w:szCs w:val="22"/>
            </w:rPr>
          </w:pPr>
          <w:r>
            <w:rPr>
              <w:rFonts w:ascii="Arial" w:hAnsi="Arial" w:cs="Arial"/>
              <w:b/>
              <w:sz w:val="24"/>
              <w:szCs w:val="24"/>
            </w:rPr>
            <w:t xml:space="preserve">Document </w:t>
          </w:r>
          <w:r w:rsidR="000F6327">
            <w:rPr>
              <w:rFonts w:ascii="Arial" w:hAnsi="Arial" w:cs="Arial"/>
              <w:b/>
              <w:sz w:val="24"/>
              <w:szCs w:val="24"/>
            </w:rPr>
            <w:t>Date</w:t>
          </w:r>
          <w:r>
            <w:rPr>
              <w:rFonts w:ascii="Arial" w:hAnsi="Arial" w:cs="Arial"/>
              <w:b/>
              <w:sz w:val="24"/>
              <w:szCs w:val="24"/>
            </w:rPr>
            <w:t>:</w:t>
          </w:r>
          <w:r w:rsidR="000F6327">
            <w:rPr>
              <w:rFonts w:ascii="Arial" w:hAnsi="Arial" w:cs="Arial"/>
              <w:b/>
              <w:sz w:val="24"/>
              <w:szCs w:val="24"/>
            </w:rPr>
            <w:t xml:space="preserve"> 5-14-2020</w:t>
          </w:r>
          <w:r>
            <w:rPr>
              <w:rFonts w:ascii="Arial" w:hAnsi="Arial" w:cs="Arial"/>
              <w:b/>
              <w:sz w:val="24"/>
              <w:szCs w:val="24"/>
            </w:rPr>
            <w:t xml:space="preserve"> </w:t>
          </w:r>
        </w:p>
      </w:tc>
      <w:tc>
        <w:tcPr>
          <w:tcW w:w="5242" w:type="dxa"/>
          <w:tcBorders>
            <w:top w:val="single" w:sz="2" w:space="0" w:color="auto"/>
            <w:left w:val="double" w:sz="4" w:space="0" w:color="auto"/>
            <w:bottom w:val="double" w:sz="4" w:space="0" w:color="auto"/>
            <w:right w:val="double" w:sz="4" w:space="0" w:color="auto"/>
          </w:tcBorders>
          <w:shd w:val="clear" w:color="auto" w:fill="auto"/>
          <w:vAlign w:val="center"/>
        </w:tcPr>
        <w:p w14:paraId="4106D49E" w14:textId="77777777" w:rsidR="003D1BDD" w:rsidRPr="00A13B9E" w:rsidRDefault="006349A3" w:rsidP="000C7CFC">
          <w:pPr>
            <w:pStyle w:val="Header"/>
            <w:spacing w:before="40"/>
            <w:ind w:left="0" w:firstLine="0"/>
            <w:rPr>
              <w:rFonts w:ascii="Arial" w:hAnsi="Arial" w:cs="Arial"/>
              <w:color w:val="000000"/>
              <w:sz w:val="22"/>
              <w:szCs w:val="22"/>
            </w:rPr>
          </w:pPr>
          <w:r>
            <w:rPr>
              <w:rFonts w:ascii="Arial" w:hAnsi="Arial" w:cs="Arial"/>
              <w:b/>
              <w:sz w:val="24"/>
              <w:szCs w:val="24"/>
            </w:rPr>
            <w:t xml:space="preserve">Version: </w:t>
          </w:r>
          <w:r>
            <w:rPr>
              <w:rFonts w:ascii="Arial" w:hAnsi="Arial" w:cs="Arial"/>
              <w:sz w:val="24"/>
              <w:szCs w:val="24"/>
            </w:rPr>
            <w:t>1</w:t>
          </w:r>
        </w:p>
      </w:tc>
    </w:tr>
  </w:tbl>
  <w:p w14:paraId="281776E7" w14:textId="77777777" w:rsidR="003D1BDD" w:rsidRPr="00266B07" w:rsidRDefault="006349A3">
    <w:pPr>
      <w:pStyle w:val="Head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08" w:type="dxa"/>
      <w:tblLayout w:type="fixed"/>
      <w:tblLook w:val="0000" w:firstRow="0" w:lastRow="0" w:firstColumn="0" w:lastColumn="0" w:noHBand="0" w:noVBand="0"/>
    </w:tblPr>
    <w:tblGrid>
      <w:gridCol w:w="990"/>
      <w:gridCol w:w="3780"/>
      <w:gridCol w:w="3150"/>
      <w:gridCol w:w="2286"/>
    </w:tblGrid>
    <w:tr w:rsidR="003D1BDD" w14:paraId="1DBB7106" w14:textId="77777777">
      <w:trPr>
        <w:cantSplit/>
        <w:trHeight w:val="383"/>
      </w:trPr>
      <w:tc>
        <w:tcPr>
          <w:tcW w:w="4770" w:type="dxa"/>
          <w:gridSpan w:val="2"/>
          <w:tcBorders>
            <w:top w:val="double" w:sz="6" w:space="0" w:color="auto"/>
            <w:left w:val="double" w:sz="6" w:space="0" w:color="auto"/>
            <w:bottom w:val="double" w:sz="6" w:space="0" w:color="auto"/>
          </w:tcBorders>
          <w:vAlign w:val="center"/>
        </w:tcPr>
        <w:p w14:paraId="1EA62EBC" w14:textId="77777777" w:rsidR="003D1BDD" w:rsidRPr="009D5B53" w:rsidRDefault="006349A3" w:rsidP="0049496F">
          <w:pPr>
            <w:pStyle w:val="Header"/>
            <w:tabs>
              <w:tab w:val="left" w:pos="720"/>
            </w:tabs>
            <w:rPr>
              <w:rFonts w:ascii="Arial" w:hAnsi="Arial" w:cs="Arial"/>
              <w:b/>
              <w:bCs/>
              <w:sz w:val="28"/>
              <w:szCs w:val="28"/>
            </w:rPr>
          </w:pPr>
          <w:r w:rsidRPr="00111D69">
            <w:rPr>
              <w:rFonts w:ascii="Arial" w:hAnsi="Arial" w:cs="Arial"/>
              <w:b/>
              <w:bCs/>
              <w:smallCaps/>
            </w:rPr>
            <w:t>QSV Biologics Ltd.</w:t>
          </w:r>
        </w:p>
      </w:tc>
      <w:tc>
        <w:tcPr>
          <w:tcW w:w="5436" w:type="dxa"/>
          <w:gridSpan w:val="2"/>
          <w:tcBorders>
            <w:top w:val="double" w:sz="6" w:space="0" w:color="auto"/>
            <w:bottom w:val="double" w:sz="6" w:space="0" w:color="auto"/>
            <w:right w:val="double" w:sz="6" w:space="0" w:color="auto"/>
          </w:tcBorders>
          <w:vAlign w:val="center"/>
        </w:tcPr>
        <w:p w14:paraId="685B9DA3" w14:textId="77777777" w:rsidR="003D1BDD" w:rsidRPr="009D5B53" w:rsidRDefault="006349A3" w:rsidP="0049496F">
          <w:pPr>
            <w:tabs>
              <w:tab w:val="right" w:pos="432"/>
            </w:tabs>
            <w:snapToGrid w:val="0"/>
            <w:jc w:val="right"/>
            <w:rPr>
              <w:rStyle w:val="PageNumber"/>
              <w:rFonts w:ascii="Arial" w:hAnsi="Arial" w:cs="Arial"/>
              <w:b/>
              <w:smallCaps/>
              <w:sz w:val="28"/>
              <w:szCs w:val="28"/>
            </w:rPr>
          </w:pPr>
          <w:r w:rsidRPr="00111D69">
            <w:rPr>
              <w:rStyle w:val="PageNumber"/>
              <w:rFonts w:ascii="Arial" w:hAnsi="Arial" w:cs="Arial"/>
              <w:b/>
              <w:smallCaps/>
              <w:sz w:val="22"/>
              <w:szCs w:val="22"/>
            </w:rPr>
            <w:t>Standard Operating Procedure</w:t>
          </w:r>
        </w:p>
      </w:tc>
    </w:tr>
    <w:tr w:rsidR="003D1BDD" w14:paraId="10D2B9BA" w14:textId="77777777">
      <w:trPr>
        <w:cantSplit/>
        <w:trHeight w:val="840"/>
      </w:trPr>
      <w:tc>
        <w:tcPr>
          <w:tcW w:w="990" w:type="dxa"/>
          <w:tcBorders>
            <w:top w:val="double" w:sz="6" w:space="0" w:color="auto"/>
            <w:left w:val="double" w:sz="6" w:space="0" w:color="auto"/>
            <w:bottom w:val="double" w:sz="6" w:space="0" w:color="auto"/>
            <w:right w:val="single" w:sz="12" w:space="0" w:color="808080"/>
          </w:tcBorders>
          <w:vAlign w:val="center"/>
        </w:tcPr>
        <w:p w14:paraId="3AEBC1DB" w14:textId="77777777" w:rsidR="003D1BDD" w:rsidRPr="00111D69" w:rsidRDefault="006349A3" w:rsidP="0049496F">
          <w:pPr>
            <w:rPr>
              <w:rFonts w:ascii="Arial" w:hAnsi="Arial" w:cs="Arial"/>
              <w:b/>
              <w:smallCaps/>
              <w:sz w:val="22"/>
              <w:szCs w:val="22"/>
            </w:rPr>
          </w:pPr>
          <w:r w:rsidRPr="00111D69">
            <w:rPr>
              <w:rFonts w:ascii="Arial" w:hAnsi="Arial" w:cs="Arial"/>
              <w:b/>
              <w:smallCaps/>
              <w:sz w:val="22"/>
              <w:szCs w:val="22"/>
            </w:rPr>
            <w:t>Title:</w:t>
          </w:r>
        </w:p>
      </w:tc>
      <w:tc>
        <w:tcPr>
          <w:tcW w:w="3780" w:type="dxa"/>
          <w:tcBorders>
            <w:top w:val="double" w:sz="6" w:space="0" w:color="auto"/>
            <w:left w:val="single" w:sz="12" w:space="0" w:color="808080"/>
            <w:bottom w:val="double" w:sz="6" w:space="0" w:color="auto"/>
            <w:right w:val="single" w:sz="12" w:space="0" w:color="808080"/>
          </w:tcBorders>
          <w:vAlign w:val="center"/>
        </w:tcPr>
        <w:p w14:paraId="0178BDC3" w14:textId="77777777" w:rsidR="003D1BDD" w:rsidRPr="009D5B53" w:rsidRDefault="006349A3" w:rsidP="0049496F">
          <w:pPr>
            <w:pStyle w:val="Header"/>
            <w:tabs>
              <w:tab w:val="clear" w:pos="4320"/>
              <w:tab w:val="clear" w:pos="8640"/>
            </w:tabs>
            <w:rPr>
              <w:rFonts w:ascii="Arial" w:hAnsi="Arial" w:cs="Arial"/>
              <w:b/>
              <w:bCs/>
              <w:smallCaps/>
            </w:rPr>
          </w:pPr>
          <w:r w:rsidRPr="009D5B53">
            <w:rPr>
              <w:rFonts w:ascii="Arial" w:hAnsi="Arial" w:cs="Arial"/>
              <w:b/>
              <w:bCs/>
              <w:smallCaps/>
            </w:rPr>
            <w:t xml:space="preserve">Clean Steam Monitoring Program </w:t>
          </w:r>
        </w:p>
      </w:tc>
      <w:tc>
        <w:tcPr>
          <w:tcW w:w="3150" w:type="dxa"/>
          <w:tcBorders>
            <w:top w:val="double" w:sz="6" w:space="0" w:color="auto"/>
            <w:left w:val="single" w:sz="12" w:space="0" w:color="808080"/>
            <w:bottom w:val="double" w:sz="6" w:space="0" w:color="auto"/>
            <w:right w:val="single" w:sz="12" w:space="0" w:color="808080"/>
          </w:tcBorders>
          <w:vAlign w:val="center"/>
        </w:tcPr>
        <w:p w14:paraId="10149518" w14:textId="77777777" w:rsidR="003D1BDD" w:rsidRPr="009D5B53" w:rsidRDefault="006349A3" w:rsidP="0049496F">
          <w:pPr>
            <w:tabs>
              <w:tab w:val="left" w:pos="1527"/>
            </w:tabs>
            <w:ind w:left="180" w:hanging="180"/>
            <w:jc w:val="both"/>
            <w:rPr>
              <w:rFonts w:ascii="Arial" w:hAnsi="Arial" w:cs="Arial"/>
              <w:b/>
            </w:rPr>
          </w:pPr>
          <w:r>
            <w:rPr>
              <w:rFonts w:ascii="Arial" w:hAnsi="Arial" w:cs="Arial"/>
              <w:b/>
            </w:rPr>
            <w:t xml:space="preserve">SOP #:                </w:t>
          </w:r>
          <w:r w:rsidRPr="009D5B53">
            <w:rPr>
              <w:rFonts w:ascii="Arial" w:hAnsi="Arial" w:cs="Arial"/>
              <w:sz w:val="18"/>
              <w:szCs w:val="18"/>
            </w:rPr>
            <w:t>SOP-QA-1090.6</w:t>
          </w:r>
        </w:p>
        <w:p w14:paraId="00A8767E" w14:textId="77777777" w:rsidR="003D1BDD" w:rsidRPr="009D5B53" w:rsidRDefault="006349A3" w:rsidP="0049496F">
          <w:pPr>
            <w:tabs>
              <w:tab w:val="left" w:pos="1527"/>
            </w:tabs>
            <w:rPr>
              <w:rFonts w:ascii="Arial" w:hAnsi="Arial" w:cs="Arial"/>
              <w:b/>
            </w:rPr>
          </w:pPr>
          <w:r>
            <w:rPr>
              <w:rFonts w:ascii="Arial" w:hAnsi="Arial" w:cs="Arial"/>
              <w:b/>
            </w:rPr>
            <w:t xml:space="preserve">SUPERSEDES </w:t>
          </w:r>
          <w:proofErr w:type="gramStart"/>
          <w:r>
            <w:rPr>
              <w:rFonts w:ascii="Arial" w:hAnsi="Arial" w:cs="Arial"/>
              <w:b/>
            </w:rPr>
            <w:t>#:</w:t>
          </w:r>
          <w:r w:rsidRPr="009D5B53">
            <w:rPr>
              <w:rFonts w:ascii="Arial" w:hAnsi="Arial" w:cs="Arial"/>
              <w:sz w:val="18"/>
              <w:szCs w:val="18"/>
            </w:rPr>
            <w:t>SOP</w:t>
          </w:r>
          <w:proofErr w:type="gramEnd"/>
          <w:r w:rsidRPr="009D5B53">
            <w:rPr>
              <w:rFonts w:ascii="Arial" w:hAnsi="Arial" w:cs="Arial"/>
              <w:sz w:val="18"/>
              <w:szCs w:val="18"/>
            </w:rPr>
            <w:t>-QA-1090.5</w:t>
          </w:r>
        </w:p>
      </w:tc>
      <w:tc>
        <w:tcPr>
          <w:tcW w:w="2286" w:type="dxa"/>
          <w:tcBorders>
            <w:top w:val="double" w:sz="6" w:space="0" w:color="auto"/>
            <w:left w:val="single" w:sz="12" w:space="0" w:color="808080"/>
            <w:bottom w:val="double" w:sz="6" w:space="0" w:color="auto"/>
            <w:right w:val="double" w:sz="6" w:space="0" w:color="auto"/>
          </w:tcBorders>
          <w:vAlign w:val="center"/>
        </w:tcPr>
        <w:p w14:paraId="59D6644D" w14:textId="77777777" w:rsidR="003D1BDD" w:rsidRPr="00111D69" w:rsidRDefault="006349A3" w:rsidP="0049496F">
          <w:pPr>
            <w:tabs>
              <w:tab w:val="left" w:pos="619"/>
              <w:tab w:val="right" w:pos="1328"/>
            </w:tabs>
            <w:ind w:right="175"/>
            <w:jc w:val="right"/>
            <w:rPr>
              <w:rFonts w:ascii="Arial" w:hAnsi="Arial" w:cs="Arial"/>
              <w:sz w:val="22"/>
            </w:rPr>
          </w:pPr>
          <w:r w:rsidRPr="00111D69">
            <w:rPr>
              <w:rStyle w:val="PageNumber"/>
              <w:rFonts w:ascii="Arial" w:hAnsi="Arial" w:cs="Arial"/>
              <w:b/>
              <w:smallCaps/>
              <w:sz w:val="22"/>
              <w:szCs w:val="22"/>
            </w:rPr>
            <w:t>Page</w:t>
          </w:r>
          <w:r w:rsidRPr="00111D69">
            <w:rPr>
              <w:rStyle w:val="PageNumber"/>
              <w:rFonts w:ascii="Arial" w:hAnsi="Arial" w:cs="Arial"/>
              <w:b/>
              <w:sz w:val="22"/>
              <w:szCs w:val="22"/>
            </w:rPr>
            <w:t xml:space="preserve"> #</w:t>
          </w:r>
          <w:r w:rsidRPr="00111D69">
            <w:rPr>
              <w:rStyle w:val="PageNumber"/>
              <w:rFonts w:ascii="Arial" w:hAnsi="Arial" w:cs="Arial"/>
              <w:sz w:val="22"/>
            </w:rPr>
            <w:tab/>
          </w:r>
          <w:r w:rsidRPr="009D5B53">
            <w:rPr>
              <w:rStyle w:val="PageNumber"/>
              <w:rFonts w:ascii="Arial" w:hAnsi="Arial" w:cs="Arial"/>
            </w:rPr>
            <w:t xml:space="preserve"> </w:t>
          </w:r>
          <w:r w:rsidRPr="009D5B53">
            <w:rPr>
              <w:rStyle w:val="PageNumber"/>
              <w:rFonts w:ascii="Arial" w:hAnsi="Arial" w:cs="Arial"/>
            </w:rPr>
            <w:fldChar w:fldCharType="begin"/>
          </w:r>
          <w:r w:rsidRPr="009D5B53">
            <w:rPr>
              <w:rStyle w:val="PageNumber"/>
              <w:rFonts w:ascii="Arial" w:hAnsi="Arial" w:cs="Arial"/>
            </w:rPr>
            <w:instrText xml:space="preserve"> PAGE </w:instrText>
          </w:r>
          <w:r w:rsidRPr="009D5B53">
            <w:rPr>
              <w:rStyle w:val="PageNumber"/>
              <w:rFonts w:ascii="Arial" w:hAnsi="Arial" w:cs="Arial"/>
            </w:rPr>
            <w:fldChar w:fldCharType="separate"/>
          </w:r>
          <w:r>
            <w:rPr>
              <w:rStyle w:val="PageNumber"/>
              <w:rFonts w:ascii="Arial" w:hAnsi="Arial" w:cs="Arial"/>
              <w:noProof/>
            </w:rPr>
            <w:t>1</w:t>
          </w:r>
          <w:r w:rsidRPr="009D5B53">
            <w:rPr>
              <w:rStyle w:val="PageNumber"/>
              <w:rFonts w:ascii="Arial" w:hAnsi="Arial" w:cs="Arial"/>
            </w:rPr>
            <w:fldChar w:fldCharType="end"/>
          </w:r>
          <w:r w:rsidRPr="009D5B53">
            <w:rPr>
              <w:rStyle w:val="PageNumber"/>
              <w:rFonts w:ascii="Arial" w:hAnsi="Arial" w:cs="Arial"/>
            </w:rPr>
            <w:t xml:space="preserve"> of </w:t>
          </w:r>
          <w:r w:rsidRPr="009D5B53">
            <w:rPr>
              <w:rStyle w:val="PageNumber"/>
              <w:rFonts w:ascii="Arial" w:hAnsi="Arial" w:cs="Arial"/>
            </w:rPr>
            <w:fldChar w:fldCharType="begin"/>
          </w:r>
          <w:r w:rsidRPr="009D5B53">
            <w:rPr>
              <w:rStyle w:val="PageNumber"/>
              <w:rFonts w:ascii="Arial" w:hAnsi="Arial" w:cs="Arial"/>
            </w:rPr>
            <w:instrText xml:space="preserve"> NUMPAGES </w:instrText>
          </w:r>
          <w:r w:rsidRPr="009D5B53">
            <w:rPr>
              <w:rStyle w:val="PageNumber"/>
              <w:rFonts w:ascii="Arial" w:hAnsi="Arial" w:cs="Arial"/>
            </w:rPr>
            <w:fldChar w:fldCharType="separate"/>
          </w:r>
          <w:r>
            <w:rPr>
              <w:rStyle w:val="PageNumber"/>
              <w:rFonts w:ascii="Arial" w:hAnsi="Arial" w:cs="Arial"/>
              <w:noProof/>
            </w:rPr>
            <w:t>6</w:t>
          </w:r>
          <w:r w:rsidRPr="009D5B53">
            <w:rPr>
              <w:rStyle w:val="PageNumber"/>
              <w:rFonts w:ascii="Arial" w:hAnsi="Arial" w:cs="Arial"/>
            </w:rPr>
            <w:fldChar w:fldCharType="end"/>
          </w:r>
        </w:p>
      </w:tc>
    </w:tr>
    <w:tr w:rsidR="003D1BDD" w:rsidRPr="00111D69" w14:paraId="3DA7CE33" w14:textId="77777777">
      <w:trPr>
        <w:cantSplit/>
        <w:trHeight w:val="360"/>
      </w:trPr>
      <w:tc>
        <w:tcPr>
          <w:tcW w:w="4770" w:type="dxa"/>
          <w:gridSpan w:val="2"/>
          <w:tcBorders>
            <w:top w:val="double" w:sz="6" w:space="0" w:color="auto"/>
            <w:left w:val="single" w:sz="12" w:space="0" w:color="808080"/>
            <w:bottom w:val="single" w:sz="12" w:space="0" w:color="808080"/>
            <w:right w:val="single" w:sz="12" w:space="0" w:color="808080"/>
          </w:tcBorders>
          <w:vAlign w:val="center"/>
        </w:tcPr>
        <w:p w14:paraId="7F2BD06F" w14:textId="77777777" w:rsidR="003D1BDD" w:rsidRPr="00111D69" w:rsidRDefault="006349A3" w:rsidP="0049496F">
          <w:pPr>
            <w:rPr>
              <w:rFonts w:ascii="Arial" w:hAnsi="Arial" w:cs="Arial"/>
              <w:b/>
              <w:smallCaps/>
              <w:sz w:val="18"/>
              <w:szCs w:val="18"/>
            </w:rPr>
          </w:pPr>
          <w:r w:rsidRPr="00111D69">
            <w:rPr>
              <w:rFonts w:ascii="Arial" w:hAnsi="Arial" w:cs="Arial"/>
              <w:b/>
              <w:smallCaps/>
              <w:sz w:val="18"/>
              <w:szCs w:val="18"/>
            </w:rPr>
            <w:t>Effective Date:</w:t>
          </w:r>
        </w:p>
      </w:tc>
      <w:tc>
        <w:tcPr>
          <w:tcW w:w="5436" w:type="dxa"/>
          <w:gridSpan w:val="2"/>
          <w:tcBorders>
            <w:top w:val="double" w:sz="6" w:space="0" w:color="auto"/>
            <w:left w:val="single" w:sz="12" w:space="0" w:color="808080"/>
            <w:bottom w:val="single" w:sz="12" w:space="0" w:color="808080"/>
            <w:right w:val="single" w:sz="12" w:space="0" w:color="808080"/>
          </w:tcBorders>
          <w:vAlign w:val="center"/>
        </w:tcPr>
        <w:p w14:paraId="4EE8378C" w14:textId="77777777" w:rsidR="003D1BDD" w:rsidRPr="00111D69" w:rsidRDefault="006349A3" w:rsidP="0049496F">
          <w:pPr>
            <w:rPr>
              <w:rFonts w:ascii="Arial" w:hAnsi="Arial" w:cs="Arial"/>
              <w:sz w:val="18"/>
            </w:rPr>
          </w:pPr>
          <w:r w:rsidRPr="00111D69">
            <w:rPr>
              <w:rFonts w:ascii="Arial" w:hAnsi="Arial" w:cs="Arial"/>
              <w:b/>
              <w:smallCaps/>
              <w:sz w:val="18"/>
              <w:szCs w:val="18"/>
            </w:rPr>
            <w:t>Department:</w:t>
          </w:r>
        </w:p>
      </w:tc>
    </w:tr>
  </w:tbl>
  <w:p w14:paraId="699E5A49" w14:textId="77777777" w:rsidR="003D1BDD" w:rsidRDefault="00634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11B"/>
    <w:multiLevelType w:val="hybridMultilevel"/>
    <w:tmpl w:val="B080C7D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15:restartNumberingAfterBreak="0">
    <w:nsid w:val="16555E79"/>
    <w:multiLevelType w:val="multilevel"/>
    <w:tmpl w:val="EBAA665E"/>
    <w:lvl w:ilvl="0">
      <w:start w:val="1"/>
      <w:numFmt w:val="decimal"/>
      <w:pStyle w:val="Style3"/>
      <w:lvlText w:val="%1.0"/>
      <w:lvlJc w:val="left"/>
      <w:pPr>
        <w:tabs>
          <w:tab w:val="num" w:pos="432"/>
        </w:tabs>
        <w:ind w:left="360" w:hanging="360"/>
      </w:pPr>
      <w:rPr>
        <w:rFonts w:hint="default"/>
        <w:b/>
      </w:rPr>
    </w:lvl>
    <w:lvl w:ilvl="1">
      <w:start w:val="1"/>
      <w:numFmt w:val="decimal"/>
      <w:pStyle w:val="SOPFormatting2"/>
      <w:lvlText w:val="%1.%2"/>
      <w:lvlJc w:val="left"/>
      <w:pPr>
        <w:tabs>
          <w:tab w:val="num" w:pos="2304"/>
        </w:tabs>
        <w:ind w:left="2304" w:hanging="432"/>
      </w:pPr>
      <w:rPr>
        <w:rFonts w:hint="default"/>
        <w:b/>
      </w:rPr>
    </w:lvl>
    <w:lvl w:ilvl="2">
      <w:start w:val="1"/>
      <w:numFmt w:val="decimal"/>
      <w:pStyle w:val="Style4"/>
      <w:lvlText w:val="%1.%2.%3"/>
      <w:lvlJc w:val="left"/>
      <w:pPr>
        <w:tabs>
          <w:tab w:val="num" w:pos="1080"/>
        </w:tabs>
        <w:ind w:left="1728" w:hanging="648"/>
      </w:pPr>
      <w:rPr>
        <w:rFonts w:hint="default"/>
        <w:b/>
      </w:rPr>
    </w:lvl>
    <w:lvl w:ilvl="3">
      <w:start w:val="1"/>
      <w:numFmt w:val="decimal"/>
      <w:lvlText w:val="%1.%2.%3.%4"/>
      <w:lvlJc w:val="left"/>
      <w:pPr>
        <w:tabs>
          <w:tab w:val="num" w:pos="1530"/>
        </w:tabs>
        <w:ind w:left="1602" w:hanging="72"/>
      </w:pPr>
      <w:rPr>
        <w:rFonts w:hint="default"/>
        <w:b/>
      </w:rPr>
    </w:lvl>
    <w:lvl w:ilvl="4">
      <w:start w:val="1"/>
      <w:numFmt w:val="decimal"/>
      <w:lvlText w:val="%1.%2.%3.%4.%5"/>
      <w:lvlJc w:val="left"/>
      <w:pPr>
        <w:tabs>
          <w:tab w:val="num" w:pos="5130"/>
        </w:tabs>
        <w:ind w:left="5130" w:hanging="1080"/>
      </w:pPr>
      <w:rPr>
        <w:rFonts w:hint="default"/>
      </w:rPr>
    </w:lvl>
    <w:lvl w:ilvl="5">
      <w:start w:val="1"/>
      <w:numFmt w:val="decimal"/>
      <w:lvlText w:val="%1.%2.%3.%4.%5.%6"/>
      <w:lvlJc w:val="left"/>
      <w:pPr>
        <w:tabs>
          <w:tab w:val="num" w:pos="5850"/>
        </w:tabs>
        <w:ind w:left="5850"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650"/>
        </w:tabs>
        <w:ind w:left="7650" w:hanging="1440"/>
      </w:pPr>
      <w:rPr>
        <w:rFonts w:hint="default"/>
      </w:rPr>
    </w:lvl>
    <w:lvl w:ilvl="8">
      <w:start w:val="1"/>
      <w:numFmt w:val="decimal"/>
      <w:lvlText w:val="%1.%2.%3.%4.%5.%6.%7.%8.%9"/>
      <w:lvlJc w:val="left"/>
      <w:pPr>
        <w:tabs>
          <w:tab w:val="num" w:pos="8370"/>
        </w:tabs>
        <w:ind w:left="837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4D"/>
    <w:rsid w:val="000F6327"/>
    <w:rsid w:val="00194E56"/>
    <w:rsid w:val="006349A3"/>
    <w:rsid w:val="00653D4D"/>
    <w:rsid w:val="006C3B54"/>
    <w:rsid w:val="00792895"/>
    <w:rsid w:val="00DB67FD"/>
    <w:rsid w:val="00F1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1AEDF"/>
  <w15:chartTrackingRefBased/>
  <w15:docId w15:val="{3F9F80EC-1F82-DF4F-944A-559FBEF4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4D"/>
    <w:pPr>
      <w:spacing w:before="60" w:after="60"/>
      <w:ind w:left="792" w:hanging="7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3D4D"/>
    <w:pPr>
      <w:tabs>
        <w:tab w:val="center" w:pos="4320"/>
        <w:tab w:val="right" w:pos="8640"/>
      </w:tabs>
    </w:pPr>
  </w:style>
  <w:style w:type="character" w:customStyle="1" w:styleId="HeaderChar">
    <w:name w:val="Header Char"/>
    <w:basedOn w:val="DefaultParagraphFont"/>
    <w:link w:val="Header"/>
    <w:rsid w:val="00653D4D"/>
    <w:rPr>
      <w:rFonts w:ascii="Times New Roman" w:eastAsia="Times New Roman" w:hAnsi="Times New Roman" w:cs="Times New Roman"/>
      <w:sz w:val="20"/>
      <w:szCs w:val="20"/>
    </w:rPr>
  </w:style>
  <w:style w:type="paragraph" w:styleId="Footer">
    <w:name w:val="footer"/>
    <w:basedOn w:val="Normal"/>
    <w:link w:val="FooterChar"/>
    <w:uiPriority w:val="99"/>
    <w:rsid w:val="00653D4D"/>
    <w:pPr>
      <w:tabs>
        <w:tab w:val="center" w:pos="4320"/>
        <w:tab w:val="right" w:pos="8640"/>
      </w:tabs>
    </w:pPr>
  </w:style>
  <w:style w:type="character" w:customStyle="1" w:styleId="FooterChar">
    <w:name w:val="Footer Char"/>
    <w:basedOn w:val="DefaultParagraphFont"/>
    <w:link w:val="Footer"/>
    <w:uiPriority w:val="99"/>
    <w:rsid w:val="00653D4D"/>
    <w:rPr>
      <w:rFonts w:ascii="Times New Roman" w:eastAsia="Times New Roman" w:hAnsi="Times New Roman" w:cs="Times New Roman"/>
      <w:sz w:val="20"/>
      <w:szCs w:val="20"/>
    </w:rPr>
  </w:style>
  <w:style w:type="character" w:styleId="PageNumber">
    <w:name w:val="page number"/>
    <w:basedOn w:val="DefaultParagraphFont"/>
    <w:rsid w:val="00653D4D"/>
  </w:style>
  <w:style w:type="paragraph" w:styleId="ListParagraph">
    <w:name w:val="List Paragraph"/>
    <w:basedOn w:val="Normal"/>
    <w:uiPriority w:val="34"/>
    <w:qFormat/>
    <w:rsid w:val="00653D4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653D4D"/>
    <w:rPr>
      <w:color w:val="0563C1" w:themeColor="hyperlink"/>
      <w:u w:val="single"/>
    </w:rPr>
  </w:style>
  <w:style w:type="paragraph" w:customStyle="1" w:styleId="Style3">
    <w:name w:val="Style3"/>
    <w:basedOn w:val="Normal"/>
    <w:rsid w:val="00653D4D"/>
    <w:pPr>
      <w:numPr>
        <w:numId w:val="1"/>
      </w:numPr>
      <w:shd w:val="clear" w:color="auto" w:fill="FFFFFF"/>
      <w:tabs>
        <w:tab w:val="num" w:pos="720"/>
      </w:tabs>
      <w:spacing w:before="120" w:after="120"/>
      <w:ind w:left="288" w:hanging="288"/>
    </w:pPr>
    <w:rPr>
      <w:rFonts w:ascii="Arial" w:hAnsi="Arial" w:cs="Arial"/>
      <w:b/>
      <w:bCs/>
      <w:color w:val="000000"/>
      <w:sz w:val="22"/>
      <w:szCs w:val="22"/>
    </w:rPr>
  </w:style>
  <w:style w:type="paragraph" w:customStyle="1" w:styleId="SOPFormatting">
    <w:name w:val="SOP Formatting"/>
    <w:basedOn w:val="Style3"/>
    <w:link w:val="SOPFormattingChar"/>
    <w:qFormat/>
    <w:rsid w:val="00653D4D"/>
  </w:style>
  <w:style w:type="paragraph" w:customStyle="1" w:styleId="SOPFormatting2">
    <w:name w:val="SOP Formatting 2"/>
    <w:basedOn w:val="Normal"/>
    <w:link w:val="SOPFormatting2Char"/>
    <w:qFormat/>
    <w:rsid w:val="00653D4D"/>
    <w:pPr>
      <w:numPr>
        <w:ilvl w:val="1"/>
        <w:numId w:val="1"/>
      </w:numPr>
      <w:shd w:val="clear" w:color="auto" w:fill="FFFFFF"/>
      <w:tabs>
        <w:tab w:val="clear" w:pos="2304"/>
        <w:tab w:val="num" w:pos="1440"/>
      </w:tabs>
      <w:ind w:left="720"/>
      <w:outlineLvl w:val="0"/>
    </w:pPr>
    <w:rPr>
      <w:rFonts w:ascii="Arial" w:hAnsi="Arial" w:cs="Arial"/>
      <w:color w:val="000000"/>
      <w:sz w:val="22"/>
      <w:szCs w:val="22"/>
    </w:rPr>
  </w:style>
  <w:style w:type="character" w:customStyle="1" w:styleId="SOPFormattingChar">
    <w:name w:val="SOP Formatting Char"/>
    <w:basedOn w:val="DefaultParagraphFont"/>
    <w:link w:val="SOPFormatting"/>
    <w:rsid w:val="00653D4D"/>
    <w:rPr>
      <w:rFonts w:ascii="Arial" w:eastAsia="Times New Roman" w:hAnsi="Arial" w:cs="Arial"/>
      <w:b/>
      <w:bCs/>
      <w:color w:val="000000"/>
      <w:sz w:val="22"/>
      <w:szCs w:val="22"/>
      <w:shd w:val="clear" w:color="auto" w:fill="FFFFFF"/>
    </w:rPr>
  </w:style>
  <w:style w:type="paragraph" w:customStyle="1" w:styleId="Style4">
    <w:name w:val="Style4"/>
    <w:basedOn w:val="Normal"/>
    <w:link w:val="Style4Char"/>
    <w:qFormat/>
    <w:rsid w:val="00653D4D"/>
    <w:pPr>
      <w:numPr>
        <w:ilvl w:val="2"/>
        <w:numId w:val="1"/>
      </w:numPr>
      <w:shd w:val="clear" w:color="auto" w:fill="FFFFFF"/>
      <w:tabs>
        <w:tab w:val="clear" w:pos="1080"/>
        <w:tab w:val="num" w:pos="720"/>
        <w:tab w:val="num" w:pos="2304"/>
      </w:tabs>
      <w:ind w:left="1368"/>
    </w:pPr>
    <w:rPr>
      <w:rFonts w:ascii="Arial" w:hAnsi="Arial" w:cs="Arial"/>
      <w:bCs/>
      <w:color w:val="000000"/>
      <w:sz w:val="22"/>
      <w:szCs w:val="22"/>
    </w:rPr>
  </w:style>
  <w:style w:type="character" w:customStyle="1" w:styleId="SOPFormatting2Char">
    <w:name w:val="SOP Formatting 2 Char"/>
    <w:basedOn w:val="DefaultParagraphFont"/>
    <w:link w:val="SOPFormatting2"/>
    <w:rsid w:val="00653D4D"/>
    <w:rPr>
      <w:rFonts w:ascii="Arial" w:eastAsia="Times New Roman" w:hAnsi="Arial" w:cs="Arial"/>
      <w:color w:val="000000"/>
      <w:sz w:val="22"/>
      <w:szCs w:val="22"/>
      <w:shd w:val="clear" w:color="auto" w:fill="FFFFFF"/>
    </w:rPr>
  </w:style>
  <w:style w:type="character" w:customStyle="1" w:styleId="Style4Char">
    <w:name w:val="Style4 Char"/>
    <w:basedOn w:val="DefaultParagraphFont"/>
    <w:link w:val="Style4"/>
    <w:rsid w:val="00653D4D"/>
    <w:rPr>
      <w:rFonts w:ascii="Arial" w:eastAsia="Times New Roman" w:hAnsi="Arial" w:cs="Arial"/>
      <w:bCs/>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cloroxcompany.com/wp-content/uploads/cloroxregular-bleach12015-06-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 Lieberman</dc:creator>
  <cp:keywords/>
  <dc:description/>
  <cp:lastModifiedBy>Vanessa M Lieberman</cp:lastModifiedBy>
  <cp:revision>1</cp:revision>
  <dcterms:created xsi:type="dcterms:W3CDTF">2020-05-14T16:43:00Z</dcterms:created>
  <dcterms:modified xsi:type="dcterms:W3CDTF">2020-05-14T17:28:00Z</dcterms:modified>
</cp:coreProperties>
</file>